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1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Инструкция по регистрации сетных орудий лова для осуществления любительского рыболовства </w:t>
      </w:r>
    </w:p>
    <w:p>
      <w:pPr>
        <w:pStyle w:val="Normal"/>
        <w:tabs>
          <w:tab w:val="clear" w:pos="708"/>
          <w:tab w:val="left" w:pos="4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125"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tabs>
          <w:tab w:val="clear" w:pos="708"/>
          <w:tab w:val="left" w:pos="0" w:leader="none"/>
        </w:tabs>
        <w:spacing w:lineRule="auto" w:line="240"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Заявитель вправе подать заявление о  внесении сведений в  реестр сетных орудий добычи (вылова) водных биоресурсов (далее - Заявление) по месту проживания или нахождения.</w:t>
      </w:r>
    </w:p>
    <w:p>
      <w:pPr>
        <w:pStyle w:val="ListParagraph"/>
        <w:numPr>
          <w:ilvl w:val="0"/>
          <w:numId w:val="1"/>
        </w:numPr>
        <w:tabs>
          <w:tab w:val="clear" w:pos="708"/>
          <w:tab w:val="left" w:pos="0" w:leader="none"/>
        </w:tabs>
        <w:spacing w:lineRule="auto" w:line="240" w:before="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Заявление подается в письменной форме на бумажном носителе нарочно, почтовым отправлением,  или в электронной (в отсканированной) форме,  на электронную почту: </w:t>
      </w:r>
    </w:p>
    <w:p>
      <w:pPr>
        <w:pStyle w:val="ListParagraph"/>
        <w:tabs>
          <w:tab w:val="clear" w:pos="708"/>
          <w:tab w:val="left" w:pos="4125" w:leader="none"/>
        </w:tabs>
        <w:spacing w:lineRule="auto" w:line="240" w:before="0" w:after="0"/>
        <w:ind w:left="0" w:firstLine="567"/>
        <w:contextualSpacing/>
        <w:jc w:val="both"/>
        <w:rPr>
          <w:color w:val="FF0000"/>
        </w:rPr>
      </w:pPr>
      <w:r>
        <w:rPr>
          <w:rFonts w:cs="Times New Roman" w:ascii="Times New Roman" w:hAnsi="Times New Roman"/>
          <w:sz w:val="28"/>
          <w:szCs w:val="28"/>
        </w:rPr>
        <w:t>- Отдел госконтроля, адрес: 677000, г. Якутск ул. Каландаришвили, д. 5, тел/факс 8(4112)36-63-45 (доб. 104),  эл. почта: goscontrol@vstu.fish.gov.ru</w:t>
      </w:r>
      <w:r>
        <w:rPr>
          <w:rFonts w:cs="Times New Roman" w:ascii="Times New Roman" w:hAnsi="Times New Roman"/>
          <w:color w:val="FF0000"/>
          <w:sz w:val="28"/>
          <w:szCs w:val="28"/>
        </w:rPr>
        <w:t>:</w:t>
      </w:r>
    </w:p>
    <w:p>
      <w:pPr>
        <w:pStyle w:val="Normal"/>
        <w:tabs>
          <w:tab w:val="clear" w:pos="708"/>
          <w:tab w:val="left" w:pos="4125" w:leader="none"/>
        </w:tabs>
        <w:spacing w:lineRule="auto" w:line="240" w:before="0" w:after="0"/>
        <w:ind w:firstLine="567"/>
        <w:jc w:val="both"/>
        <w:rPr/>
      </w:pPr>
      <w:r>
        <w:rPr>
          <w:rFonts w:cs="Times New Roman" w:ascii="Times New Roman" w:hAnsi="Times New Roman"/>
          <w:sz w:val="28"/>
          <w:szCs w:val="28"/>
        </w:rPr>
        <w:t>- Арктический межрайонный отдел государственного контроля, надзора и охраны водных биологических ресурсов адрес: 678400, Булунский улус, п. Тикси, ул. Ленинская, 25, кв. 1. тел/факс: 8(41167)53-185, эл. почта: arkotdel@vstu.fish.gov.ru</w:t>
      </w:r>
    </w:p>
    <w:p>
      <w:pPr>
        <w:pStyle w:val="Normal"/>
        <w:tabs>
          <w:tab w:val="clear" w:pos="708"/>
          <w:tab w:val="left" w:pos="4125" w:leader="none"/>
        </w:tabs>
        <w:spacing w:lineRule="auto" w:line="240" w:before="0" w:after="0"/>
        <w:ind w:firstLine="567"/>
        <w:jc w:val="both"/>
        <w:rPr/>
      </w:pPr>
      <w:r>
        <w:rPr>
          <w:rFonts w:cs="Times New Roman" w:ascii="Times New Roman" w:hAnsi="Times New Roman"/>
          <w:sz w:val="28"/>
          <w:szCs w:val="28"/>
        </w:rPr>
        <w:t>-Индигирский межрайонный отдел государственного контроля, надзора и охраны водных биоресурсов  адрес: 678890, Абыйский улус, п. Белая Гора, ул. Строителей, 12/4, каб. 21, тел/факс: 8(41159)22-060, эл. почта: indigirotdel@vstu.fish.gov.ru</w:t>
      </w:r>
    </w:p>
    <w:p>
      <w:pPr>
        <w:pStyle w:val="Normal"/>
        <w:tabs>
          <w:tab w:val="clear" w:pos="708"/>
          <w:tab w:val="left" w:pos="4125" w:leader="none"/>
        </w:tabs>
        <w:spacing w:lineRule="auto" w:line="240" w:before="0" w:after="0"/>
        <w:ind w:firstLine="567"/>
        <w:jc w:val="both"/>
        <w:rPr/>
      </w:pPr>
      <w:r>
        <w:rPr>
          <w:rFonts w:cs="Times New Roman" w:ascii="Times New Roman" w:hAnsi="Times New Roman"/>
          <w:sz w:val="28"/>
          <w:szCs w:val="28"/>
        </w:rPr>
        <w:t>-Промышленный межрайонный отдел государственного контроля, надзора и охраны водных биоресурсов  адрес: 678144, г.Ленск, ул. Победы д. 30,  тел/факс: 8(41137)42- 397; 678185, п. Чернышевский , ул. Гидростроителей д. 24, кв.28 ; 678100, г. Олекминск, ул. Кедровая д. 13, эл. почта: promotdel@vstu.fish.gov.ru</w:t>
      </w:r>
    </w:p>
    <w:p>
      <w:pPr>
        <w:pStyle w:val="Normal"/>
        <w:tabs>
          <w:tab w:val="clear" w:pos="708"/>
          <w:tab w:val="left" w:pos="4125" w:leader="none"/>
        </w:tabs>
        <w:spacing w:lineRule="auto" w:line="24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4125" w:leader="none"/>
        </w:tabs>
        <w:spacing w:lineRule="auto" w:line="240" w:before="0" w:after="0"/>
        <w:ind w:firstLine="567"/>
        <w:jc w:val="both"/>
        <w:rPr>
          <w:highlight w:val="white"/>
        </w:rPr>
      </w:pPr>
      <w:r>
        <w:rPr>
          <w:rFonts w:cs="Times New Roman" w:ascii="Times New Roman" w:hAnsi="Times New Roman"/>
          <w:sz w:val="28"/>
          <w:szCs w:val="28"/>
          <w:highlight w:val="white"/>
        </w:rPr>
        <w:t xml:space="preserve">Образец заявления </w:t>
      </w:r>
      <w:r>
        <w:rPr>
          <w:rFonts w:eastAsia="Calibri" w:cs="Times New Roman" w:ascii="Times New Roman" w:hAnsi="Times New Roman"/>
          <w:color w:val="000000"/>
          <w:kern w:val="0"/>
          <w:sz w:val="28"/>
          <w:szCs w:val="28"/>
          <w:highlight w:val="white"/>
          <w:lang w:val="ru-RU" w:eastAsia="en-US" w:bidi="ar-SA"/>
        </w:rPr>
        <w:t>можно скачать в разделе «Заявление - маркировка и учет СО» либо заполнить в электронном виде.</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 В заявлении необходимо указать:</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 наименование территориального органа, в  который подается заявление о внесении сведений в реестр;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2)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3) дата и  место рождения владельца сетного орудия (для физических лиц);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4) адрес места жительства (места пребывания) владельца сетного орудия (для физических лиц); адрес места нахождения юридического лица или индивидуального предпринимателя;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5) индивидуальный номер налогоплательщика владельца сетного орудия (для физических лиц, при наличии);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6) обязательный государственный регистрационный номер (для юридических лиц);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7) основной государственный регистрационный номер записи о государственной регистрации индивидуального предпринимателя (для индивидуальных предпринимателей);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8) номер контактного телефона и (или) адрес электронной почты (если имеются) владельца сетного орудия;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9) данные документа, удостоверяющего личность владельца сетного орудия (для физических лиц); </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 наименование сетного орудия, сведения о  котором подлежат внесению в в  реестр, с  указанием: для жаберных сетей- длины, высоты, размера (шага) ячеи; для неводов всех типов, бредней- длины, высоты, размера (шага) ячеи; для сетных ловушек любого типа и прочих сетных орудий лова- сведения об основных конструктивных характеристиках в снаряженном (расправленном) виде (длина, высота, ширина (шага) ячеи, в том числе характеристики, предусмотренные для сетных ловушек правилами росрыболовства, например:</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Сеть ставная (плавная) 30 м., ячея 40 мм., высота 2 м. ( в соответствии с правилами росрыболовства длина должна быть не более 30 м, с размером (шагом) ячеи не менее 22 мм);</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-Бредень длина 25 м., ячея 10 мм., высота 4 м., (бредень без мотни, в соответствии с правилами росрыболовства  высотой не более 4 метров в посадке, длиной до 25 метров по верхней подборе с размером (шагом) ячеи не менее 10 мм.);</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Невод   длина 150 м., ячея в мотне  30 мм; в приводах — 32 мм, крыльях 40 мм. ( в соответствии с правилами росрыболовства длина должна быть  до 150 метров по верхней подборе  с размером (шагом) ячеи в мотне  30-32 мм; в приводах - 32-36 мм, крыльях 40 мм. и выше);</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-Якутский куйуур диаметр сачка 50 см., ячея 25 мм.</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заявлении можно указать несколько орудий лова (с описание характеристик каждого сетного орудия).</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11)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 или наименование рыболовного участка.</w:t>
      </w:r>
    </w:p>
    <w:p>
      <w:pPr>
        <w:pStyle w:val="Normal"/>
        <w:tabs>
          <w:tab w:val="clear" w:pos="708"/>
          <w:tab w:val="left" w:pos="4125" w:leader="none"/>
        </w:tabs>
        <w:spacing w:lineRule="auto" w:line="240" w:before="0" w:after="0"/>
        <w:ind w:firstLine="567"/>
        <w:jc w:val="both"/>
        <w:rPr/>
      </w:pPr>
      <w:r>
        <w:rPr>
          <w:rFonts w:cs="Times New Roman" w:ascii="Times New Roman" w:hAnsi="Times New Roman"/>
          <w:sz w:val="28"/>
          <w:szCs w:val="28"/>
          <w:highlight w:val="white"/>
        </w:rPr>
        <w:t xml:space="preserve">Перечень водных объектов </w:t>
      </w:r>
      <w:r>
        <w:rPr>
          <w:rFonts w:cs="Times New Roman" w:ascii="Times New Roman" w:hAnsi="Times New Roman"/>
          <w:sz w:val="28"/>
          <w:szCs w:val="28"/>
          <w:highlight w:val="white"/>
        </w:rPr>
        <w:t>для Восточно-Сибирского Рыбохозяйственного бассейна</w:t>
      </w:r>
      <w:r>
        <w:rPr>
          <w:rFonts w:cs="Times New Roman" w:ascii="Times New Roman" w:hAnsi="Times New Roman"/>
          <w:sz w:val="28"/>
          <w:szCs w:val="28"/>
          <w:highlight w:val="white"/>
        </w:rPr>
        <w:t xml:space="preserve"> размещен на официальном сайте  по ссылке https://sudact.ru/law/prikaz-minselkhoza-rossii-ot-26062020-n-347/prilozhenie/prilozhenie-n-3/</w:t>
      </w:r>
      <w:hyperlink r:id="rId2">
        <w:r>
          <w:rPr>
            <w:rFonts w:cs="Times New Roman" w:ascii="Times New Roman" w:hAnsi="Times New Roman"/>
            <w:sz w:val="28"/>
            <w:szCs w:val="28"/>
            <w:highlight w:val="white"/>
          </w:rPr>
          <w:t xml:space="preserve">). </w:t>
        </w:r>
      </w:hyperlink>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 сведения о том, что владелец сетного орудия ознакомлен с  требованиями Правил рыболовства для Восточно-Сибирского рыбохозяйственного бассейна, на территории которого планируется осуществлять любительское рыболовство с  применением сетных орудий.</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Срок рассмотрения заявления — не должен превышать 20 рабочих дней со дня регистрации в территориальном органе. </w:t>
      </w:r>
    </w:p>
    <w:p>
      <w:pPr>
        <w:pStyle w:val="Normal"/>
        <w:tabs>
          <w:tab w:val="clear" w:pos="708"/>
          <w:tab w:val="left" w:pos="4125" w:leader="none"/>
        </w:tabs>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После получения положительного ответа каждому орудию лова будет присваиваться учетный номер, состоящий из серии и номера. Владельцу необходимо закрепить номер на  сетное орудие добычи (вылова) водных биологических ресурсов с указанием: </w:t>
      </w:r>
    </w:p>
    <w:p>
      <w:pPr>
        <w:pStyle w:val="Normal"/>
        <w:tabs>
          <w:tab w:val="clear" w:pos="708"/>
          <w:tab w:val="left" w:pos="4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фамилия, имя и  отчество (если имеется) владельца сетного орудия;</w:t>
      </w:r>
    </w:p>
    <w:p>
      <w:pPr>
        <w:pStyle w:val="Normal"/>
        <w:tabs>
          <w:tab w:val="clear" w:pos="708"/>
          <w:tab w:val="left" w:pos="4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характеристики сетного орудия, в том числе: для ставных сетей - длина и размер (шага) ячеи, для бредня, невода и т. д.  - длина крыла и размер (шага) ячеи;</w:t>
      </w:r>
    </w:p>
    <w:p>
      <w:pPr>
        <w:pStyle w:val="Normal"/>
        <w:tabs>
          <w:tab w:val="clear" w:pos="708"/>
          <w:tab w:val="left" w:pos="4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учетный номер сетного орудия.</w:t>
      </w:r>
    </w:p>
    <w:p>
      <w:pPr>
        <w:pStyle w:val="Normal"/>
        <w:tabs>
          <w:tab w:val="clear" w:pos="708"/>
          <w:tab w:val="left" w:pos="4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180" w:leader="none"/>
        </w:tabs>
        <w:spacing w:lineRule="auto" w:line="240" w:before="0" w:after="0"/>
        <w:ind w:firstLine="567"/>
        <w:jc w:val="both"/>
        <w:rPr/>
      </w:pPr>
      <w:r>
        <w:rPr>
          <w:rFonts w:cs="Times New Roman" w:ascii="Times New Roman" w:hAnsi="Times New Roman"/>
          <w:sz w:val="28"/>
          <w:szCs w:val="28"/>
        </w:rPr>
        <w:t>Маркировочный знак представляет собой изделие прямоугольной формы из любого материала размером не менее 15 сантиметров на 10 сантиметров, который  изготавливается самостоятельно из любого материала. Закрепляется на сетном орудии любым доступным способом обеспечивающим его сохранность.</w:t>
      </w:r>
    </w:p>
    <w:p>
      <w:pPr>
        <w:pStyle w:val="Normal"/>
        <w:tabs>
          <w:tab w:val="clear" w:pos="708"/>
          <w:tab w:val="left" w:pos="4180" w:leader="none"/>
        </w:tabs>
        <w:spacing w:lineRule="auto" w:line="240" w:before="0" w:after="0"/>
        <w:ind w:firstLine="56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Информация наносится любым способом, обеспечивающим ее сохранность при применении орудия. </w:t>
      </w:r>
    </w:p>
    <w:p>
      <w:pPr>
        <w:pStyle w:val="Normal"/>
        <w:tabs>
          <w:tab w:val="clear" w:pos="708"/>
          <w:tab w:val="left" w:pos="418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Информация должна быть разборчивой и доступной для визуального осмотра.</w:t>
      </w:r>
    </w:p>
    <w:p>
      <w:pPr>
        <w:pStyle w:val="Normal"/>
        <w:tabs>
          <w:tab w:val="clear" w:pos="708"/>
          <w:tab w:val="left" w:pos="418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В регистрации может быть отказано по следующим причинам:</w:t>
      </w:r>
    </w:p>
    <w:p>
      <w:pPr>
        <w:pStyle w:val="Normal"/>
        <w:spacing w:lineRule="auto" w:line="240"/>
        <w:ind w:firstLine="567"/>
        <w:jc w:val="both"/>
        <w:rPr/>
      </w:pPr>
      <w:r>
        <w:rPr>
          <w:rFonts w:cs="Times New Roman" w:ascii="Times New Roman" w:hAnsi="Times New Roman"/>
          <w:sz w:val="28"/>
          <w:szCs w:val="28"/>
        </w:rPr>
        <w:t>1. Несоответствие заявленных сетных орудий сетным орудиям, разрешенным правилами рыболовства для водных объектов, указанных владельцем сетного орудия;</w:t>
      </w:r>
    </w:p>
    <w:p>
      <w:pPr>
        <w:pStyle w:val="Normal"/>
        <w:spacing w:lineRule="auto" w:line="240"/>
        <w:ind w:firstLine="567"/>
        <w:jc w:val="both"/>
        <w:rPr/>
      </w:pPr>
      <w:r>
        <w:rPr>
          <w:rFonts w:cs="Times New Roman" w:ascii="Times New Roman" w:hAnsi="Times New Roman"/>
          <w:sz w:val="28"/>
          <w:szCs w:val="28"/>
        </w:rPr>
        <w:t>2. Если на водном объекте, указанном в заявлении о внесении сведений в реестр, правилами рыболовства запрещено использование заявленных сетных орудий;</w:t>
      </w:r>
    </w:p>
    <w:p>
      <w:pPr>
        <w:pStyle w:val="Normal"/>
        <w:spacing w:lineRule="auto" w:line="240"/>
        <w:ind w:firstLine="567"/>
        <w:jc w:val="both"/>
        <w:rPr/>
      </w:pPr>
      <w:r>
        <w:rPr>
          <w:rFonts w:cs="Times New Roman" w:ascii="Times New Roman" w:hAnsi="Times New Roman"/>
          <w:sz w:val="28"/>
          <w:szCs w:val="28"/>
        </w:rPr>
        <w:t>3. Если водный объект, указанный в заявлении о внесении сведений в реестр, предоставлен в пользование для осуществления аквакультуры (рыбоводства) и (или) промышленного рыболовства и (или)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 Наличия в заявлении о внесении сведений в реестр недостоверной, искаженной или неполной информации;</w:t>
      </w:r>
    </w:p>
    <w:p>
      <w:pPr>
        <w:pStyle w:val="Normal"/>
        <w:tabs>
          <w:tab w:val="clear" w:pos="708"/>
          <w:tab w:val="left" w:pos="4180" w:leader="none"/>
        </w:tabs>
        <w:spacing w:lineRule="auto" w:line="240" w:before="0" w:after="0"/>
        <w:ind w:firstLine="567"/>
        <w:jc w:val="both"/>
        <w:rPr/>
      </w:pPr>
      <w:r>
        <w:rPr/>
      </w:r>
    </w:p>
    <w:p>
      <w:pPr>
        <w:pStyle w:val="Normal"/>
        <w:tabs>
          <w:tab w:val="clear" w:pos="708"/>
          <w:tab w:val="left" w:pos="418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18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случае изменения места жительства (при наличии регистрации) либо места пребывания (при наличии регистрации) владельца сетного орудия, переоборудования (модернизации) сетного орудия владелец сетного орудия обязан представить соответствующую информацию о внесении изменений в его учетные данные путем направления заявления о внесении изменений в его учетные данные в территориальный орган в течение 15 рабочих дней со дня наступления одного из указанных событий. </w:t>
      </w:r>
    </w:p>
    <w:p>
      <w:pPr>
        <w:pStyle w:val="Normal"/>
        <w:tabs>
          <w:tab w:val="clear" w:pos="708"/>
          <w:tab w:val="left" w:pos="418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случае смены владельца сетного орудия, утраты (утери) сетного орудия, а также в случае утилизации или уничтожения сетного орудия без замены сетного орудия на равнозначное по параметрам, прежний владелец сетного орудия обязан представить соответствующую информацию об аннулировании учетного номера в реестре путем направления заявления об аннулировании учетного номера в реестре в территориальный орган в течение 15 рабочих дней со дня наступления одного из указанных событий.</w:t>
      </w:r>
    </w:p>
    <w:p>
      <w:pPr>
        <w:pStyle w:val="Normal"/>
        <w:tabs>
          <w:tab w:val="clear" w:pos="708"/>
          <w:tab w:val="left" w:pos="418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первоначально внесены в реестр, и  использовать его без направления заявления о внесении изменений в его учетные данные или заявления об аннулировании учетного номера в реестре в территориальный орган. При этом потерявшее свои свойства сетное орудие не может применяться в целях осуществления любительского рыболовства.</w:t>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12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125" w:leader="none"/>
        </w:tabs>
        <w:spacing w:lineRule="auto" w:line="240" w:before="0" w:after="0"/>
        <w:ind w:firstLine="567"/>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4125" w:leader="none"/>
        </w:tabs>
        <w:spacing w:lineRule="auto" w:line="240" w:before="0" w:after="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20b4"/>
    <w:pPr>
      <w:widowControl/>
      <w:suppressAutoHyphens w:val="true"/>
      <w:bidi w:val="0"/>
      <w:spacing w:lineRule="auto" w:line="259" w:before="0" w:after="160"/>
      <w:jc w:val="left"/>
    </w:pPr>
    <w:rPr>
      <w:rFonts w:ascii="Calibri" w:hAnsi="Calibri" w:eastAsia="Calibri" w:cs="Tahoma"/>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sid w:val="00ad20b4"/>
    <w:rPr>
      <w:rFonts w:ascii="Segoe UI" w:hAnsi="Segoe UI" w:cs="Segoe UI"/>
      <w:sz w:val="18"/>
      <w:szCs w:val="18"/>
    </w:rPr>
  </w:style>
  <w:style w:type="character" w:styleId="Style15" w:customStyle="1">
    <w:name w:val="Интернет-ссылка"/>
    <w:rsid w:val="00ad20b4"/>
    <w:rPr>
      <w:color w:val="000080"/>
      <w:u w:val="single"/>
    </w:rPr>
  </w:style>
  <w:style w:type="paragraph" w:styleId="Style16" w:customStyle="1">
    <w:name w:val="Заголовок"/>
    <w:basedOn w:val="Normal"/>
    <w:next w:val="Style17"/>
    <w:qFormat/>
    <w:rsid w:val="00ad20b4"/>
    <w:pPr>
      <w:keepNext w:val="true"/>
      <w:spacing w:before="240" w:after="120"/>
    </w:pPr>
    <w:rPr>
      <w:rFonts w:ascii="PT Astra Serif" w:hAnsi="PT Astra Serif" w:eastAsia="Tahoma" w:cs="Noto Sans Devanagari"/>
      <w:sz w:val="28"/>
      <w:szCs w:val="28"/>
    </w:rPr>
  </w:style>
  <w:style w:type="paragraph" w:styleId="Style17">
    <w:name w:val="Body Text"/>
    <w:basedOn w:val="Normal"/>
    <w:rsid w:val="00ad20b4"/>
    <w:pPr>
      <w:spacing w:lineRule="auto" w:line="276" w:before="0" w:after="140"/>
    </w:pPr>
    <w:rPr/>
  </w:style>
  <w:style w:type="paragraph" w:styleId="Style18">
    <w:name w:val="List"/>
    <w:basedOn w:val="Style17"/>
    <w:rsid w:val="00ad20b4"/>
    <w:pPr/>
    <w:rPr>
      <w:rFonts w:ascii="PT Astra Serif" w:hAnsi="PT Astra Serif" w:cs="Noto Sans Devanagari"/>
    </w:rPr>
  </w:style>
  <w:style w:type="paragraph" w:styleId="Style19" w:customStyle="1">
    <w:name w:val="Caption"/>
    <w:basedOn w:val="Normal"/>
    <w:qFormat/>
    <w:rsid w:val="00ad20b4"/>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ad20b4"/>
    <w:pPr>
      <w:suppressLineNumbers/>
    </w:pPr>
    <w:rPr>
      <w:rFonts w:ascii="PT Astra Serif" w:hAnsi="PT Astra Serif" w:cs="Noto Sans Devanagari"/>
    </w:rPr>
  </w:style>
  <w:style w:type="paragraph" w:styleId="BalloonText">
    <w:name w:val="Balloon Text"/>
    <w:basedOn w:val="Normal"/>
    <w:qFormat/>
    <w:rsid w:val="00ad20b4"/>
    <w:pPr>
      <w:spacing w:lineRule="auto" w:line="240" w:before="0" w:after="0"/>
    </w:pPr>
    <w:rPr>
      <w:rFonts w:ascii="Segoe UI" w:hAnsi="Segoe UI" w:cs="Segoe UI"/>
      <w:sz w:val="18"/>
      <w:szCs w:val="18"/>
    </w:rPr>
  </w:style>
  <w:style w:type="paragraph" w:styleId="ListParagraph">
    <w:name w:val="List Paragraph"/>
    <w:basedOn w:val="Normal"/>
    <w:qFormat/>
    <w:rsid w:val="00ad20b4"/>
    <w:pPr>
      <w:spacing w:before="0" w:after="160"/>
      <w:ind w:left="720" w:hanging="0"/>
      <w:contextualSpacing/>
    </w:pPr>
    <w:rPr/>
  </w:style>
  <w:style w:type="paragraph" w:styleId="Style21" w:customStyle="1">
    <w:name w:val="Содержимое врезки"/>
    <w:basedOn w:val="Normal"/>
    <w:qFormat/>
    <w:rsid w:val="00ad20b4"/>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sh.kurganobl.ru/5354.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LibreOffice/6.4.7.2$Linux_X86_64 LibreOffice_project/40$Build-2</Application>
  <Pages>4</Pages>
  <Words>1073</Words>
  <Characters>7140</Characters>
  <CharactersWithSpaces>8224</CharactersWithSpaces>
  <Paragraphs>43</Paragraphs>
  <Company>Ленское территориальное управление Росрыболовства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2024-09-03T01:04:00Z</dcterms:created>
  <dc:creator>Zen</dc:creator>
  <dc:description/>
  <dc:language>ru-RU</dc:language>
  <cp:lastModifiedBy/>
  <cp:lastPrinted>2024-06-21T04:47:00Z</cp:lastPrinted>
  <dcterms:modified xsi:type="dcterms:W3CDTF">2024-11-27T09:04:27Z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Ленское территориальное управление Росрыболовства</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